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4371"/>
      </w:tblGrid>
      <w:tr w:rsidR="00BD2A7C" w:rsidRPr="00A111B7" w14:paraId="2E0E8206" w14:textId="77777777" w:rsidTr="00502962">
        <w:trPr>
          <w:trHeight w:val="3421"/>
        </w:trPr>
        <w:tc>
          <w:tcPr>
            <w:tcW w:w="5529" w:type="dxa"/>
          </w:tcPr>
          <w:p w14:paraId="55315826" w14:textId="77777777" w:rsidR="00BD2A7C" w:rsidRPr="00A111B7" w:rsidRDefault="00A111B7" w:rsidP="00570D2C">
            <w:pPr>
              <w:tabs>
                <w:tab w:val="center" w:pos="1505"/>
              </w:tabs>
              <w:spacing w:line="276" w:lineRule="auto"/>
              <w:ind w:left="-142" w:right="-1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EF47A14" wp14:editId="03FC51D9">
                  <wp:extent cx="3543300" cy="2295525"/>
                  <wp:effectExtent l="0" t="0" r="0" b="9525"/>
                  <wp:docPr id="1" name="Рисунок 1" descr="y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shd w:val="clear" w:color="auto" w:fill="auto"/>
            <w:vAlign w:val="center"/>
          </w:tcPr>
          <w:p w14:paraId="610F9686" w14:textId="77777777" w:rsidR="00BD2A7C" w:rsidRPr="00A111B7" w:rsidRDefault="00632419" w:rsidP="00502962">
            <w:pPr>
              <w:spacing w:line="276" w:lineRule="auto"/>
              <w:ind w:left="34" w:right="-108"/>
              <w:jc w:val="both"/>
              <w:rPr>
                <w:rFonts w:ascii="Verdana" w:hAnsi="Verdana"/>
                <w:color w:val="000000"/>
                <w:spacing w:val="-1"/>
                <w:sz w:val="20"/>
                <w:szCs w:val="20"/>
              </w:rPr>
            </w:pPr>
            <w:r w:rsidRPr="00570D2C">
              <w:rPr>
                <w:rFonts w:ascii="Verdana" w:hAnsi="Verdana"/>
                <w:b/>
                <w:iCs/>
                <w:color w:val="000000"/>
                <w:spacing w:val="-1"/>
                <w:sz w:val="20"/>
                <w:szCs w:val="20"/>
              </w:rPr>
              <w:t>Узел декорирования УД</w:t>
            </w:r>
            <w:r w:rsidR="00C510F6" w:rsidRPr="00570D2C">
              <w:rPr>
                <w:rFonts w:ascii="Verdana" w:hAnsi="Verdana"/>
                <w:b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="0017158F" w:rsidRPr="00570D2C">
              <w:rPr>
                <w:rFonts w:ascii="Verdana" w:hAnsi="Verdana"/>
                <w:sz w:val="20"/>
                <w:szCs w:val="20"/>
              </w:rPr>
              <w:t>п</w:t>
            </w:r>
            <w:r w:rsidR="00BD2A7C" w:rsidRPr="00570D2C">
              <w:rPr>
                <w:rFonts w:ascii="Verdana" w:hAnsi="Verdana"/>
                <w:sz w:val="20"/>
                <w:szCs w:val="20"/>
              </w:rPr>
              <w:t>редназначен для нанесения декоративного узора  на кондитерские изделия.</w:t>
            </w:r>
            <w:r w:rsidR="009B462A" w:rsidRPr="00570D2C">
              <w:rPr>
                <w:rFonts w:ascii="Verdana" w:hAnsi="Verdana"/>
                <w:sz w:val="20"/>
                <w:szCs w:val="20"/>
              </w:rPr>
              <w:t xml:space="preserve"> Является дополнительным узлом для машины глазирования МГ.</w:t>
            </w:r>
            <w:r w:rsidR="00BD2A7C" w:rsidRPr="00570D2C">
              <w:rPr>
                <w:rFonts w:ascii="Verdana" w:hAnsi="Verdana"/>
                <w:sz w:val="20"/>
                <w:szCs w:val="20"/>
              </w:rPr>
              <w:t xml:space="preserve"> Узел декорирования установлен после разливочной ванны глазирования продукта. Машина глазирования работает либо на глазирование продукта, либо на декорирование с одновременным глазированием дна продукта. Управление всеми функциями машины осуществляется с общего пульта управления.</w:t>
            </w:r>
          </w:p>
        </w:tc>
      </w:tr>
    </w:tbl>
    <w:p w14:paraId="7D9EF6DE" w14:textId="77777777" w:rsidR="00C510F6" w:rsidRPr="00A111B7" w:rsidRDefault="00C510F6" w:rsidP="00570D2C">
      <w:pPr>
        <w:spacing w:line="276" w:lineRule="auto"/>
        <w:rPr>
          <w:rFonts w:ascii="Verdana" w:hAnsi="Verdana"/>
          <w:b/>
          <w:iCs/>
          <w:color w:val="000000"/>
          <w:spacing w:val="-1"/>
          <w:sz w:val="20"/>
          <w:szCs w:val="20"/>
        </w:rPr>
      </w:pPr>
      <w:r w:rsidRPr="00A111B7">
        <w:rPr>
          <w:rFonts w:ascii="Verdana" w:hAnsi="Verdana"/>
          <w:b/>
          <w:iCs/>
          <w:color w:val="000000"/>
          <w:spacing w:val="-1"/>
          <w:sz w:val="20"/>
          <w:szCs w:val="20"/>
        </w:rPr>
        <w:t>Примеры декоративных  узоров</w:t>
      </w:r>
    </w:p>
    <w:p w14:paraId="5671A8EB" w14:textId="77777777" w:rsidR="00C510F6" w:rsidRPr="00A111B7" w:rsidRDefault="00502962" w:rsidP="00570D2C">
      <w:pPr>
        <w:spacing w:line="276" w:lineRule="auto"/>
        <w:rPr>
          <w:rFonts w:ascii="Verdana" w:hAnsi="Verdana"/>
          <w:b/>
          <w:iCs/>
          <w:color w:val="000000"/>
          <w:spacing w:val="-1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935" distR="114935" simplePos="0" relativeHeight="251659776" behindDoc="0" locked="0" layoutInCell="1" allowOverlap="1" wp14:anchorId="01DC99A0" wp14:editId="06FE2D8D">
            <wp:simplePos x="0" y="0"/>
            <wp:positionH relativeFrom="column">
              <wp:posOffset>1368425</wp:posOffset>
            </wp:positionH>
            <wp:positionV relativeFrom="paragraph">
              <wp:posOffset>135255</wp:posOffset>
            </wp:positionV>
            <wp:extent cx="1047115" cy="899160"/>
            <wp:effectExtent l="0" t="0" r="63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899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0"/>
          <w:szCs w:val="20"/>
        </w:rPr>
        <w:drawing>
          <wp:anchor distT="0" distB="0" distL="114935" distR="114935" simplePos="0" relativeHeight="251657728" behindDoc="0" locked="0" layoutInCell="1" allowOverlap="1" wp14:anchorId="602623F5" wp14:editId="323E6582">
            <wp:simplePos x="0" y="0"/>
            <wp:positionH relativeFrom="column">
              <wp:posOffset>5238750</wp:posOffset>
            </wp:positionH>
            <wp:positionV relativeFrom="paragraph">
              <wp:posOffset>125730</wp:posOffset>
            </wp:positionV>
            <wp:extent cx="1047115" cy="899160"/>
            <wp:effectExtent l="0" t="0" r="63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899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1B7">
        <w:rPr>
          <w:rFonts w:ascii="Verdana" w:hAnsi="Verdana"/>
          <w:noProof/>
          <w:sz w:val="20"/>
          <w:szCs w:val="20"/>
        </w:rPr>
        <w:drawing>
          <wp:anchor distT="0" distB="0" distL="114935" distR="114935" simplePos="0" relativeHeight="251658752" behindDoc="0" locked="0" layoutInCell="1" allowOverlap="1" wp14:anchorId="1EC8EBEB" wp14:editId="1D0F58FC">
            <wp:simplePos x="0" y="0"/>
            <wp:positionH relativeFrom="column">
              <wp:posOffset>7620</wp:posOffset>
            </wp:positionH>
            <wp:positionV relativeFrom="paragraph">
              <wp:posOffset>135255</wp:posOffset>
            </wp:positionV>
            <wp:extent cx="1047115" cy="899160"/>
            <wp:effectExtent l="0" t="0" r="63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899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1B7">
        <w:rPr>
          <w:rFonts w:ascii="Verdana" w:hAnsi="Verdana"/>
          <w:noProof/>
          <w:sz w:val="20"/>
          <w:szCs w:val="20"/>
        </w:rPr>
        <w:drawing>
          <wp:anchor distT="0" distB="0" distL="114935" distR="114935" simplePos="0" relativeHeight="251656704" behindDoc="0" locked="0" layoutInCell="1" allowOverlap="1" wp14:anchorId="70D58161" wp14:editId="49D14B2B">
            <wp:simplePos x="0" y="0"/>
            <wp:positionH relativeFrom="column">
              <wp:posOffset>3982085</wp:posOffset>
            </wp:positionH>
            <wp:positionV relativeFrom="paragraph">
              <wp:posOffset>135255</wp:posOffset>
            </wp:positionV>
            <wp:extent cx="1047115" cy="899160"/>
            <wp:effectExtent l="0" t="0" r="63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899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1B7">
        <w:rPr>
          <w:rFonts w:ascii="Verdana" w:hAnsi="Verdana"/>
          <w:noProof/>
          <w:sz w:val="20"/>
          <w:szCs w:val="20"/>
        </w:rPr>
        <w:drawing>
          <wp:anchor distT="0" distB="0" distL="114935" distR="114935" simplePos="0" relativeHeight="251655680" behindDoc="0" locked="0" layoutInCell="1" allowOverlap="1" wp14:anchorId="7D3D7DDE" wp14:editId="3B12B844">
            <wp:simplePos x="0" y="0"/>
            <wp:positionH relativeFrom="column">
              <wp:posOffset>2619375</wp:posOffset>
            </wp:positionH>
            <wp:positionV relativeFrom="paragraph">
              <wp:posOffset>135255</wp:posOffset>
            </wp:positionV>
            <wp:extent cx="1047115" cy="901065"/>
            <wp:effectExtent l="0" t="0" r="63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01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A2C64" w14:textId="77777777" w:rsidR="00C510F6" w:rsidRPr="00A111B7" w:rsidRDefault="00C510F6" w:rsidP="00570D2C">
      <w:pPr>
        <w:spacing w:line="276" w:lineRule="auto"/>
        <w:rPr>
          <w:rFonts w:ascii="Verdana" w:hAnsi="Verdana"/>
          <w:b/>
          <w:iCs/>
          <w:color w:val="000000"/>
          <w:spacing w:val="-1"/>
          <w:sz w:val="20"/>
          <w:szCs w:val="20"/>
        </w:rPr>
      </w:pPr>
    </w:p>
    <w:p w14:paraId="4135DD2F" w14:textId="77777777" w:rsidR="00C510F6" w:rsidRPr="00A111B7" w:rsidRDefault="00C510F6" w:rsidP="00570D2C">
      <w:pPr>
        <w:spacing w:line="276" w:lineRule="auto"/>
        <w:rPr>
          <w:rFonts w:ascii="Verdana" w:hAnsi="Verdana"/>
          <w:b/>
          <w:iCs/>
          <w:color w:val="000000"/>
          <w:spacing w:val="-1"/>
          <w:sz w:val="20"/>
          <w:szCs w:val="20"/>
        </w:rPr>
      </w:pPr>
    </w:p>
    <w:p w14:paraId="4A731A48" w14:textId="77777777" w:rsidR="00C510F6" w:rsidRPr="00A111B7" w:rsidRDefault="00C510F6" w:rsidP="00570D2C">
      <w:pPr>
        <w:spacing w:line="276" w:lineRule="auto"/>
        <w:rPr>
          <w:rFonts w:ascii="Verdana" w:hAnsi="Verdana"/>
          <w:b/>
          <w:iCs/>
          <w:color w:val="000000"/>
          <w:spacing w:val="-1"/>
          <w:sz w:val="20"/>
          <w:szCs w:val="20"/>
        </w:rPr>
      </w:pPr>
    </w:p>
    <w:p w14:paraId="3CC41D90" w14:textId="77777777" w:rsidR="00C510F6" w:rsidRPr="00A111B7" w:rsidRDefault="00C510F6" w:rsidP="00570D2C">
      <w:pPr>
        <w:spacing w:line="276" w:lineRule="auto"/>
        <w:rPr>
          <w:rFonts w:ascii="Verdana" w:hAnsi="Verdana"/>
          <w:b/>
          <w:iCs/>
          <w:color w:val="000000"/>
          <w:spacing w:val="-1"/>
          <w:sz w:val="20"/>
          <w:szCs w:val="20"/>
        </w:rPr>
      </w:pPr>
    </w:p>
    <w:p w14:paraId="4AAEFC3F" w14:textId="77777777" w:rsidR="00C510F6" w:rsidRPr="00A111B7" w:rsidRDefault="00C510F6" w:rsidP="00570D2C">
      <w:pPr>
        <w:spacing w:line="276" w:lineRule="auto"/>
        <w:rPr>
          <w:rFonts w:ascii="Verdana" w:hAnsi="Verdana"/>
          <w:b/>
          <w:iCs/>
          <w:color w:val="000000"/>
          <w:spacing w:val="-1"/>
          <w:sz w:val="20"/>
          <w:szCs w:val="20"/>
        </w:rPr>
      </w:pPr>
    </w:p>
    <w:p w14:paraId="360FDC0C" w14:textId="77777777" w:rsidR="00AA0DE6" w:rsidRPr="00A111B7" w:rsidRDefault="00AA0DE6" w:rsidP="00570D2C">
      <w:pPr>
        <w:spacing w:line="276" w:lineRule="auto"/>
        <w:rPr>
          <w:rFonts w:ascii="Verdana" w:hAnsi="Verdana"/>
          <w:b/>
          <w:iCs/>
          <w:color w:val="000000"/>
          <w:spacing w:val="-1"/>
          <w:sz w:val="20"/>
          <w:szCs w:val="20"/>
        </w:rPr>
      </w:pPr>
    </w:p>
    <w:p w14:paraId="19798610" w14:textId="77777777" w:rsidR="00C510F6" w:rsidRPr="00A111B7" w:rsidRDefault="00632419" w:rsidP="00570D2C">
      <w:pPr>
        <w:spacing w:line="276" w:lineRule="auto"/>
        <w:ind w:left="10"/>
        <w:jc w:val="both"/>
        <w:rPr>
          <w:rFonts w:ascii="Verdana" w:hAnsi="Verdana"/>
          <w:sz w:val="20"/>
          <w:szCs w:val="20"/>
        </w:rPr>
      </w:pPr>
      <w:r w:rsidRPr="00A111B7">
        <w:rPr>
          <w:rFonts w:ascii="Verdana" w:hAnsi="Verdana"/>
          <w:b/>
          <w:sz w:val="20"/>
          <w:szCs w:val="20"/>
        </w:rPr>
        <w:t>Узел декорирования УД</w:t>
      </w:r>
      <w:r w:rsidR="009B462A" w:rsidRPr="00A111B7">
        <w:rPr>
          <w:rFonts w:ascii="Verdana" w:hAnsi="Verdana"/>
          <w:b/>
          <w:sz w:val="20"/>
          <w:szCs w:val="20"/>
        </w:rPr>
        <w:t xml:space="preserve"> </w:t>
      </w:r>
      <w:r w:rsidR="009B462A" w:rsidRPr="00A111B7">
        <w:rPr>
          <w:rFonts w:ascii="Verdana" w:hAnsi="Verdana"/>
          <w:sz w:val="20"/>
          <w:szCs w:val="20"/>
        </w:rPr>
        <w:t>о</w:t>
      </w:r>
      <w:r w:rsidR="00C510F6" w:rsidRPr="00A111B7">
        <w:rPr>
          <w:rFonts w:ascii="Verdana" w:hAnsi="Verdana"/>
          <w:sz w:val="20"/>
          <w:szCs w:val="20"/>
        </w:rPr>
        <w:t>снащён системой автоматической пробивки форсунок декоратора. Управление данной функцией осуществляется с помощью нажатия кнопки с общего пульта машины глазиров</w:t>
      </w:r>
      <w:r w:rsidR="0017158F" w:rsidRPr="00A111B7">
        <w:rPr>
          <w:rFonts w:ascii="Verdana" w:hAnsi="Verdana"/>
          <w:sz w:val="20"/>
          <w:szCs w:val="20"/>
        </w:rPr>
        <w:t>ания</w:t>
      </w:r>
      <w:r w:rsidR="00C510F6" w:rsidRPr="00A111B7">
        <w:rPr>
          <w:rFonts w:ascii="Verdana" w:hAnsi="Verdana"/>
          <w:sz w:val="20"/>
          <w:szCs w:val="20"/>
        </w:rPr>
        <w:t>.</w:t>
      </w:r>
    </w:p>
    <w:p w14:paraId="6618D526" w14:textId="77777777" w:rsidR="00C61BBF" w:rsidRDefault="00C61BBF" w:rsidP="00A111B7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1B5FBA1" w14:textId="77777777" w:rsidR="00F63DB4" w:rsidRPr="00A111B7" w:rsidRDefault="00F63DB4" w:rsidP="00A111B7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A111B7">
        <w:rPr>
          <w:rFonts w:ascii="Verdana" w:hAnsi="Verdana"/>
          <w:b/>
          <w:sz w:val="20"/>
          <w:szCs w:val="20"/>
        </w:rPr>
        <w:t>Стоимость оборудования</w:t>
      </w:r>
    </w:p>
    <w:p w14:paraId="1D832DC0" w14:textId="77777777" w:rsidR="00F63DB4" w:rsidRDefault="00F63DB4" w:rsidP="00A111B7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C61BBF">
        <w:rPr>
          <w:rFonts w:ascii="Verdana" w:hAnsi="Verdana"/>
          <w:i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9"/>
        <w:gridCol w:w="2681"/>
      </w:tblGrid>
      <w:tr w:rsidR="00F63DB4" w:rsidRPr="00A111B7" w14:paraId="24D92635" w14:textId="77777777" w:rsidTr="00DD4F4F">
        <w:trPr>
          <w:trHeight w:val="80"/>
          <w:tblCellSpacing w:w="0" w:type="dxa"/>
        </w:trPr>
        <w:tc>
          <w:tcPr>
            <w:tcW w:w="7219" w:type="dxa"/>
            <w:shd w:val="pct10" w:color="auto" w:fill="auto"/>
            <w:vAlign w:val="center"/>
            <w:hideMark/>
          </w:tcPr>
          <w:p w14:paraId="4C7EE58F" w14:textId="77777777" w:rsidR="00F63DB4" w:rsidRPr="00A111B7" w:rsidRDefault="00F63DB4" w:rsidP="00A111B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111B7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A111B7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A111B7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681" w:type="dxa"/>
            <w:shd w:val="pct10" w:color="auto" w:fill="auto"/>
            <w:vAlign w:val="center"/>
            <w:hideMark/>
          </w:tcPr>
          <w:p w14:paraId="3B396B60" w14:textId="77777777" w:rsidR="00F63DB4" w:rsidRPr="00A111B7" w:rsidRDefault="00F63DB4" w:rsidP="00A111B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111B7">
              <w:rPr>
                <w:rFonts w:ascii="Verdana" w:hAnsi="Verdana"/>
                <w:b/>
                <w:bCs/>
                <w:sz w:val="20"/>
                <w:szCs w:val="20"/>
              </w:rPr>
              <w:t>Цена, руб. с НДС</w:t>
            </w:r>
          </w:p>
        </w:tc>
      </w:tr>
      <w:tr w:rsidR="00BA6810" w:rsidRPr="00A111B7" w14:paraId="65A29A8F" w14:textId="77777777" w:rsidTr="00DD4F4F">
        <w:trPr>
          <w:trHeight w:val="235"/>
          <w:tblCellSpacing w:w="0" w:type="dxa"/>
        </w:trPr>
        <w:tc>
          <w:tcPr>
            <w:tcW w:w="7219" w:type="dxa"/>
            <w:shd w:val="clear" w:color="auto" w:fill="auto"/>
            <w:vAlign w:val="center"/>
            <w:hideMark/>
          </w:tcPr>
          <w:p w14:paraId="399B7B0C" w14:textId="77777777" w:rsidR="00BA6810" w:rsidRPr="00A111B7" w:rsidRDefault="00BA6810" w:rsidP="00A111B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111B7">
              <w:rPr>
                <w:rFonts w:ascii="Verdana" w:hAnsi="Verdana"/>
                <w:sz w:val="20"/>
                <w:szCs w:val="20"/>
              </w:rPr>
              <w:t>Узел декорирования УД-1 (для МГ-1 400 мм)</w:t>
            </w:r>
          </w:p>
        </w:tc>
        <w:tc>
          <w:tcPr>
            <w:tcW w:w="2681" w:type="dxa"/>
            <w:shd w:val="clear" w:color="auto" w:fill="auto"/>
            <w:vAlign w:val="center"/>
            <w:hideMark/>
          </w:tcPr>
          <w:p w14:paraId="1CCC5341" w14:textId="4998888C" w:rsidR="00BA6810" w:rsidRPr="00B22CC6" w:rsidRDefault="00921540" w:rsidP="00DE7E5F">
            <w:pPr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145</w:t>
            </w:r>
            <w:r w:rsidR="00BA6810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BA6810" w:rsidRPr="00A111B7" w14:paraId="34F782BE" w14:textId="77777777" w:rsidTr="00DD4F4F">
        <w:trPr>
          <w:trHeight w:val="98"/>
          <w:tblCellSpacing w:w="0" w:type="dxa"/>
        </w:trPr>
        <w:tc>
          <w:tcPr>
            <w:tcW w:w="7219" w:type="dxa"/>
            <w:shd w:val="pct10" w:color="auto" w:fill="auto"/>
            <w:vAlign w:val="center"/>
            <w:hideMark/>
          </w:tcPr>
          <w:p w14:paraId="2A1057C3" w14:textId="77777777" w:rsidR="00BA6810" w:rsidRPr="00A111B7" w:rsidRDefault="00BA6810" w:rsidP="00A111B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111B7">
              <w:rPr>
                <w:rFonts w:ascii="Verdana" w:hAnsi="Verdana"/>
                <w:sz w:val="20"/>
                <w:szCs w:val="20"/>
              </w:rPr>
              <w:t>Узел декорирования УД-2 (для МГ-2 600 мм)</w:t>
            </w:r>
          </w:p>
        </w:tc>
        <w:tc>
          <w:tcPr>
            <w:tcW w:w="2681" w:type="dxa"/>
            <w:shd w:val="pct10" w:color="auto" w:fill="auto"/>
            <w:vAlign w:val="center"/>
            <w:hideMark/>
          </w:tcPr>
          <w:p w14:paraId="50039853" w14:textId="2F9FC5DD" w:rsidR="00BA6810" w:rsidRPr="00B22CC6" w:rsidRDefault="00921540" w:rsidP="00DE7E5F">
            <w:pPr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176</w:t>
            </w:r>
            <w:r w:rsidR="00BA6810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BA6810" w:rsidRPr="00A111B7" w14:paraId="69E65796" w14:textId="77777777" w:rsidTr="00DD4F4F">
        <w:trPr>
          <w:trHeight w:val="88"/>
          <w:tblCellSpacing w:w="0" w:type="dxa"/>
        </w:trPr>
        <w:tc>
          <w:tcPr>
            <w:tcW w:w="7219" w:type="dxa"/>
            <w:shd w:val="clear" w:color="auto" w:fill="auto"/>
            <w:vAlign w:val="center"/>
            <w:hideMark/>
          </w:tcPr>
          <w:p w14:paraId="165F7DA8" w14:textId="77777777" w:rsidR="00BA6810" w:rsidRPr="00A111B7" w:rsidRDefault="00BA6810" w:rsidP="00A111B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111B7">
              <w:rPr>
                <w:rFonts w:ascii="Verdana" w:hAnsi="Verdana"/>
                <w:sz w:val="20"/>
                <w:szCs w:val="20"/>
              </w:rPr>
              <w:t>Узел декорирования УД-3 (для МГ-3 800 мм)</w:t>
            </w:r>
          </w:p>
        </w:tc>
        <w:tc>
          <w:tcPr>
            <w:tcW w:w="2681" w:type="dxa"/>
            <w:shd w:val="clear" w:color="auto" w:fill="auto"/>
            <w:vAlign w:val="center"/>
            <w:hideMark/>
          </w:tcPr>
          <w:p w14:paraId="68644635" w14:textId="4365A3DD" w:rsidR="00BA6810" w:rsidRPr="00B22CC6" w:rsidRDefault="00483447" w:rsidP="00DE7E5F">
            <w:pPr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921540">
              <w:rPr>
                <w:rFonts w:ascii="Verdana" w:hAnsi="Verdana"/>
                <w:sz w:val="20"/>
                <w:szCs w:val="20"/>
              </w:rPr>
              <w:t>64</w:t>
            </w:r>
            <w:r w:rsidR="00BA6810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</w:tbl>
    <w:p w14:paraId="44BB0AC1" w14:textId="77777777" w:rsidR="00C61BBF" w:rsidRDefault="00C61BBF" w:rsidP="00A111B7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56987237" w14:textId="77777777" w:rsidR="00717687" w:rsidRPr="00E671C6" w:rsidRDefault="00717687" w:rsidP="00717687">
      <w:pPr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31629B99" w14:textId="77777777" w:rsidR="00717687" w:rsidRPr="00E671C6" w:rsidRDefault="00717687" w:rsidP="00717687">
      <w:pPr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2EF7FA79" w14:textId="2084B080" w:rsidR="00717687" w:rsidRPr="00E671C6" w:rsidRDefault="00921540" w:rsidP="00717687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717687" w:rsidRPr="00E671C6">
        <w:rPr>
          <w:rFonts w:ascii="Verdana" w:hAnsi="Verdana"/>
          <w:sz w:val="20"/>
          <w:szCs w:val="20"/>
        </w:rPr>
        <w:tab/>
      </w:r>
      <w:r w:rsidR="00717687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7A50CF24" w14:textId="77777777" w:rsidR="00717687" w:rsidRPr="00E671C6" w:rsidRDefault="00717687" w:rsidP="00717687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09279A75" w14:textId="77777777" w:rsidR="00717687" w:rsidRDefault="00717687" w:rsidP="00717687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4F5D3014" w14:textId="77777777" w:rsidR="00717687" w:rsidRPr="00820470" w:rsidRDefault="00717687" w:rsidP="00717687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450A443C" w14:textId="77777777" w:rsidR="00717687" w:rsidRDefault="00717687" w:rsidP="00717687">
      <w:pPr>
        <w:jc w:val="both"/>
        <w:rPr>
          <w:rFonts w:ascii="Verdana" w:hAnsi="Verdana"/>
          <w:b/>
          <w:sz w:val="20"/>
          <w:szCs w:val="20"/>
        </w:rPr>
      </w:pPr>
    </w:p>
    <w:p w14:paraId="35E88AE3" w14:textId="77777777" w:rsidR="00717687" w:rsidRDefault="00717687" w:rsidP="0071768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Срок изготовления оборудования до 30 рабочих дней.</w:t>
      </w:r>
    </w:p>
    <w:p w14:paraId="3524FF2E" w14:textId="77777777" w:rsidR="00717687" w:rsidRDefault="00717687" w:rsidP="0071768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675E63F2" w14:textId="77777777" w:rsidR="00717687" w:rsidRDefault="00717687" w:rsidP="0071768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2B2D2BC2" w14:textId="77777777" w:rsidR="003669E4" w:rsidRPr="00A111B7" w:rsidRDefault="003669E4" w:rsidP="00A111B7">
      <w:pPr>
        <w:spacing w:line="276" w:lineRule="auto"/>
        <w:rPr>
          <w:rFonts w:ascii="Verdana" w:hAnsi="Verdana"/>
          <w:sz w:val="20"/>
          <w:szCs w:val="20"/>
        </w:rPr>
      </w:pPr>
    </w:p>
    <w:sectPr w:rsidR="003669E4" w:rsidRPr="00A111B7" w:rsidSect="00C14D79">
      <w:headerReference w:type="default" r:id="rId14"/>
      <w:footerReference w:type="default" r:id="rId15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FD2F" w14:textId="77777777" w:rsidR="00840396" w:rsidRDefault="00840396" w:rsidP="003669E4">
      <w:r>
        <w:separator/>
      </w:r>
    </w:p>
  </w:endnote>
  <w:endnote w:type="continuationSeparator" w:id="0">
    <w:p w14:paraId="024B6F74" w14:textId="77777777" w:rsidR="00840396" w:rsidRDefault="00840396" w:rsidP="0036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F6D3" w14:textId="77777777" w:rsidR="003669E4" w:rsidRDefault="00A111B7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C30DE" wp14:editId="751BC089">
          <wp:simplePos x="0" y="0"/>
          <wp:positionH relativeFrom="column">
            <wp:posOffset>3809</wp:posOffset>
          </wp:positionH>
          <wp:positionV relativeFrom="paragraph">
            <wp:posOffset>-2884805</wp:posOffset>
          </wp:positionV>
          <wp:extent cx="6296025" cy="3343274"/>
          <wp:effectExtent l="0" t="0" r="0" b="0"/>
          <wp:wrapNone/>
          <wp:docPr id="3" name="Рисунок 3" descr="C:\Users\angel\Desktop\Подвал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Desktop\Подвал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2265" cy="3346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8BCE" w14:textId="77777777" w:rsidR="00840396" w:rsidRDefault="00840396" w:rsidP="003669E4">
      <w:r>
        <w:separator/>
      </w:r>
    </w:p>
  </w:footnote>
  <w:footnote w:type="continuationSeparator" w:id="0">
    <w:p w14:paraId="3D088BE2" w14:textId="77777777" w:rsidR="00840396" w:rsidRDefault="00840396" w:rsidP="0036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79CD" w14:textId="77777777" w:rsidR="003669E4" w:rsidRDefault="00A111B7" w:rsidP="00C14D79">
    <w:pPr>
      <w:pStyle w:val="a3"/>
      <w:tabs>
        <w:tab w:val="clear" w:pos="9355"/>
        <w:tab w:val="right" w:pos="9498"/>
      </w:tabs>
      <w:ind w:right="-285"/>
      <w:rPr>
        <w:noProof/>
      </w:rPr>
    </w:pPr>
    <w:r>
      <w:rPr>
        <w:noProof/>
      </w:rPr>
      <w:drawing>
        <wp:inline distT="0" distB="0" distL="0" distR="0" wp14:anchorId="5C32722A" wp14:editId="16529A0A">
          <wp:extent cx="6296025" cy="457200"/>
          <wp:effectExtent l="0" t="0" r="9525" b="0"/>
          <wp:docPr id="7" name="Рисунок 7" descr="C:\Users\angel\Desktop\Шапка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gel\Desktop\Шапка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B7421" w14:textId="77777777" w:rsidR="00A111B7" w:rsidRDefault="00A111B7" w:rsidP="00C14D79">
    <w:pPr>
      <w:pStyle w:val="a3"/>
      <w:tabs>
        <w:tab w:val="clear" w:pos="9355"/>
        <w:tab w:val="right" w:pos="9498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36C"/>
    <w:multiLevelType w:val="hybridMultilevel"/>
    <w:tmpl w:val="1494F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964E6"/>
    <w:multiLevelType w:val="hybridMultilevel"/>
    <w:tmpl w:val="3A46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26185"/>
    <w:multiLevelType w:val="hybridMultilevel"/>
    <w:tmpl w:val="424E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0E3B"/>
    <w:multiLevelType w:val="hybridMultilevel"/>
    <w:tmpl w:val="4542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75381"/>
    <w:multiLevelType w:val="hybridMultilevel"/>
    <w:tmpl w:val="616C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486587">
    <w:abstractNumId w:val="1"/>
  </w:num>
  <w:num w:numId="2" w16cid:durableId="1198272511">
    <w:abstractNumId w:val="5"/>
  </w:num>
  <w:num w:numId="3" w16cid:durableId="19797237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332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5461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2382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1560E"/>
    <w:rsid w:val="00026341"/>
    <w:rsid w:val="00031DC3"/>
    <w:rsid w:val="00047621"/>
    <w:rsid w:val="000625E3"/>
    <w:rsid w:val="00067FC2"/>
    <w:rsid w:val="00070A7D"/>
    <w:rsid w:val="000807DE"/>
    <w:rsid w:val="00083ACD"/>
    <w:rsid w:val="000C25BB"/>
    <w:rsid w:val="000C3533"/>
    <w:rsid w:val="000C3DCF"/>
    <w:rsid w:val="000C6168"/>
    <w:rsid w:val="000E4467"/>
    <w:rsid w:val="000F1582"/>
    <w:rsid w:val="0012411A"/>
    <w:rsid w:val="00132C9A"/>
    <w:rsid w:val="001611D3"/>
    <w:rsid w:val="001641EF"/>
    <w:rsid w:val="0017158F"/>
    <w:rsid w:val="00181E1B"/>
    <w:rsid w:val="00184A41"/>
    <w:rsid w:val="00191132"/>
    <w:rsid w:val="0019538A"/>
    <w:rsid w:val="001A3BE4"/>
    <w:rsid w:val="001E4CC8"/>
    <w:rsid w:val="001E7025"/>
    <w:rsid w:val="001F6788"/>
    <w:rsid w:val="002102B4"/>
    <w:rsid w:val="002127F5"/>
    <w:rsid w:val="00223D85"/>
    <w:rsid w:val="0023066E"/>
    <w:rsid w:val="00241BCE"/>
    <w:rsid w:val="002615C0"/>
    <w:rsid w:val="00266AF4"/>
    <w:rsid w:val="00271046"/>
    <w:rsid w:val="0029772B"/>
    <w:rsid w:val="002A7949"/>
    <w:rsid w:val="002B0695"/>
    <w:rsid w:val="002B1631"/>
    <w:rsid w:val="002D3477"/>
    <w:rsid w:val="002D75CE"/>
    <w:rsid w:val="002E5075"/>
    <w:rsid w:val="002F4DED"/>
    <w:rsid w:val="002F62FB"/>
    <w:rsid w:val="002F6358"/>
    <w:rsid w:val="00304E20"/>
    <w:rsid w:val="00311654"/>
    <w:rsid w:val="003168CA"/>
    <w:rsid w:val="0033777D"/>
    <w:rsid w:val="003559ED"/>
    <w:rsid w:val="003639C6"/>
    <w:rsid w:val="003669E4"/>
    <w:rsid w:val="00373BFF"/>
    <w:rsid w:val="00376CF7"/>
    <w:rsid w:val="00385811"/>
    <w:rsid w:val="00394DCB"/>
    <w:rsid w:val="003A09C6"/>
    <w:rsid w:val="003B69DA"/>
    <w:rsid w:val="003D4C86"/>
    <w:rsid w:val="003E351C"/>
    <w:rsid w:val="003F7557"/>
    <w:rsid w:val="00413DBF"/>
    <w:rsid w:val="00427782"/>
    <w:rsid w:val="0044640E"/>
    <w:rsid w:val="00463F88"/>
    <w:rsid w:val="004642EC"/>
    <w:rsid w:val="00467409"/>
    <w:rsid w:val="00483447"/>
    <w:rsid w:val="004A0292"/>
    <w:rsid w:val="004F67C5"/>
    <w:rsid w:val="00502962"/>
    <w:rsid w:val="00520159"/>
    <w:rsid w:val="00523125"/>
    <w:rsid w:val="0052370A"/>
    <w:rsid w:val="005243F8"/>
    <w:rsid w:val="0053762A"/>
    <w:rsid w:val="00537A42"/>
    <w:rsid w:val="00550878"/>
    <w:rsid w:val="00557092"/>
    <w:rsid w:val="0056519F"/>
    <w:rsid w:val="00570D2C"/>
    <w:rsid w:val="00571F7B"/>
    <w:rsid w:val="005720CB"/>
    <w:rsid w:val="00585EB6"/>
    <w:rsid w:val="005947A1"/>
    <w:rsid w:val="005A4105"/>
    <w:rsid w:val="005C3538"/>
    <w:rsid w:val="005C479C"/>
    <w:rsid w:val="005D1932"/>
    <w:rsid w:val="005E3117"/>
    <w:rsid w:val="006033BB"/>
    <w:rsid w:val="006048E7"/>
    <w:rsid w:val="00606AA9"/>
    <w:rsid w:val="00612304"/>
    <w:rsid w:val="006138EA"/>
    <w:rsid w:val="00614680"/>
    <w:rsid w:val="0062276E"/>
    <w:rsid w:val="006313D5"/>
    <w:rsid w:val="00632419"/>
    <w:rsid w:val="00637343"/>
    <w:rsid w:val="006515C4"/>
    <w:rsid w:val="00652608"/>
    <w:rsid w:val="00654008"/>
    <w:rsid w:val="006760B6"/>
    <w:rsid w:val="00684C72"/>
    <w:rsid w:val="00684EC2"/>
    <w:rsid w:val="006862E7"/>
    <w:rsid w:val="006910F0"/>
    <w:rsid w:val="006A6B08"/>
    <w:rsid w:val="006B2533"/>
    <w:rsid w:val="006C0CC8"/>
    <w:rsid w:val="006E2404"/>
    <w:rsid w:val="006E7FAE"/>
    <w:rsid w:val="006F40F2"/>
    <w:rsid w:val="00713753"/>
    <w:rsid w:val="00717687"/>
    <w:rsid w:val="007440E8"/>
    <w:rsid w:val="0074592B"/>
    <w:rsid w:val="00747487"/>
    <w:rsid w:val="00776A0D"/>
    <w:rsid w:val="00783887"/>
    <w:rsid w:val="00790DB2"/>
    <w:rsid w:val="007966E5"/>
    <w:rsid w:val="007A339F"/>
    <w:rsid w:val="007A451D"/>
    <w:rsid w:val="007C12E7"/>
    <w:rsid w:val="007D096C"/>
    <w:rsid w:val="007E0FB5"/>
    <w:rsid w:val="00800A32"/>
    <w:rsid w:val="0080498C"/>
    <w:rsid w:val="00823FA1"/>
    <w:rsid w:val="00832CD7"/>
    <w:rsid w:val="008378BB"/>
    <w:rsid w:val="00840396"/>
    <w:rsid w:val="0084308C"/>
    <w:rsid w:val="0084508D"/>
    <w:rsid w:val="00852709"/>
    <w:rsid w:val="008875B3"/>
    <w:rsid w:val="00892F7A"/>
    <w:rsid w:val="008B5B43"/>
    <w:rsid w:val="008C4CD7"/>
    <w:rsid w:val="008C7AF9"/>
    <w:rsid w:val="008D39A6"/>
    <w:rsid w:val="008E4B0B"/>
    <w:rsid w:val="008E76C0"/>
    <w:rsid w:val="008F3350"/>
    <w:rsid w:val="00904D7A"/>
    <w:rsid w:val="009112A5"/>
    <w:rsid w:val="00921540"/>
    <w:rsid w:val="00934719"/>
    <w:rsid w:val="00942CC5"/>
    <w:rsid w:val="00953680"/>
    <w:rsid w:val="00970802"/>
    <w:rsid w:val="00991199"/>
    <w:rsid w:val="009944A6"/>
    <w:rsid w:val="009B462A"/>
    <w:rsid w:val="009C481F"/>
    <w:rsid w:val="009E069C"/>
    <w:rsid w:val="009E323B"/>
    <w:rsid w:val="009E67AB"/>
    <w:rsid w:val="00A00361"/>
    <w:rsid w:val="00A111B7"/>
    <w:rsid w:val="00A2337D"/>
    <w:rsid w:val="00A26B85"/>
    <w:rsid w:val="00A533F1"/>
    <w:rsid w:val="00A634FA"/>
    <w:rsid w:val="00A82BCA"/>
    <w:rsid w:val="00A868C0"/>
    <w:rsid w:val="00AA0DE6"/>
    <w:rsid w:val="00AA3FA1"/>
    <w:rsid w:val="00AB1591"/>
    <w:rsid w:val="00AB7BDA"/>
    <w:rsid w:val="00AE72BE"/>
    <w:rsid w:val="00AF1A60"/>
    <w:rsid w:val="00B1191E"/>
    <w:rsid w:val="00B14D76"/>
    <w:rsid w:val="00B237AC"/>
    <w:rsid w:val="00B250CF"/>
    <w:rsid w:val="00B265BA"/>
    <w:rsid w:val="00B33B9B"/>
    <w:rsid w:val="00B656A6"/>
    <w:rsid w:val="00B660D4"/>
    <w:rsid w:val="00B9360E"/>
    <w:rsid w:val="00BA6810"/>
    <w:rsid w:val="00BB22C1"/>
    <w:rsid w:val="00BC49A5"/>
    <w:rsid w:val="00BD2A7C"/>
    <w:rsid w:val="00BD6995"/>
    <w:rsid w:val="00BF27C0"/>
    <w:rsid w:val="00C060FA"/>
    <w:rsid w:val="00C14D79"/>
    <w:rsid w:val="00C510F6"/>
    <w:rsid w:val="00C57FE1"/>
    <w:rsid w:val="00C61BBF"/>
    <w:rsid w:val="00C628A6"/>
    <w:rsid w:val="00C8402A"/>
    <w:rsid w:val="00C840E9"/>
    <w:rsid w:val="00C90C7A"/>
    <w:rsid w:val="00CB01DA"/>
    <w:rsid w:val="00CE7B3D"/>
    <w:rsid w:val="00CF2B9F"/>
    <w:rsid w:val="00D041A8"/>
    <w:rsid w:val="00D254ED"/>
    <w:rsid w:val="00D26851"/>
    <w:rsid w:val="00D42A16"/>
    <w:rsid w:val="00D46A66"/>
    <w:rsid w:val="00D46D75"/>
    <w:rsid w:val="00D51E89"/>
    <w:rsid w:val="00D64273"/>
    <w:rsid w:val="00D654B7"/>
    <w:rsid w:val="00D67F2E"/>
    <w:rsid w:val="00D72CD2"/>
    <w:rsid w:val="00D93BA5"/>
    <w:rsid w:val="00D942C6"/>
    <w:rsid w:val="00DD4F4F"/>
    <w:rsid w:val="00DD6C1B"/>
    <w:rsid w:val="00DD7982"/>
    <w:rsid w:val="00DE7E5F"/>
    <w:rsid w:val="00DF4CBE"/>
    <w:rsid w:val="00DF5118"/>
    <w:rsid w:val="00E12569"/>
    <w:rsid w:val="00E52A88"/>
    <w:rsid w:val="00E77DC0"/>
    <w:rsid w:val="00E806D7"/>
    <w:rsid w:val="00E84522"/>
    <w:rsid w:val="00E876C6"/>
    <w:rsid w:val="00E93660"/>
    <w:rsid w:val="00EA72CB"/>
    <w:rsid w:val="00EB1EE4"/>
    <w:rsid w:val="00EB7CD1"/>
    <w:rsid w:val="00EC3760"/>
    <w:rsid w:val="00EE3043"/>
    <w:rsid w:val="00EE561F"/>
    <w:rsid w:val="00EF2A8E"/>
    <w:rsid w:val="00EF2B9A"/>
    <w:rsid w:val="00F1182D"/>
    <w:rsid w:val="00F45358"/>
    <w:rsid w:val="00F47CDA"/>
    <w:rsid w:val="00F53881"/>
    <w:rsid w:val="00F61A70"/>
    <w:rsid w:val="00F63DB4"/>
    <w:rsid w:val="00F66E9B"/>
    <w:rsid w:val="00FA4631"/>
    <w:rsid w:val="00FA5D70"/>
    <w:rsid w:val="00FB6BDA"/>
    <w:rsid w:val="00FC5685"/>
    <w:rsid w:val="00FD0669"/>
    <w:rsid w:val="00FE7816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BE4EE"/>
  <w15:docId w15:val="{187315DD-9627-4628-A964-F0425E27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qFormat/>
    <w:rsid w:val="00EB1EE4"/>
    <w:rPr>
      <w:b/>
      <w:bCs/>
    </w:rPr>
  </w:style>
  <w:style w:type="paragraph" w:styleId="aa">
    <w:name w:val="Normal (Web)"/>
    <w:basedOn w:val="a"/>
    <w:rsid w:val="00EB1EE4"/>
    <w:pPr>
      <w:spacing w:before="120" w:after="216"/>
      <w:jc w:val="both"/>
    </w:pPr>
  </w:style>
  <w:style w:type="paragraph" w:styleId="ab">
    <w:name w:val="List Paragraph"/>
    <w:basedOn w:val="a"/>
    <w:uiPriority w:val="34"/>
    <w:qFormat/>
    <w:rsid w:val="00EB1EE4"/>
    <w:pPr>
      <w:ind w:left="720"/>
      <w:contextualSpacing/>
    </w:pPr>
  </w:style>
  <w:style w:type="character" w:styleId="ac">
    <w:name w:val="FollowedHyperlink"/>
    <w:rsid w:val="00EB1EE4"/>
    <w:rPr>
      <w:color w:val="800080"/>
      <w:u w:val="single"/>
    </w:rPr>
  </w:style>
  <w:style w:type="character" w:styleId="ad">
    <w:name w:val="annotation reference"/>
    <w:basedOn w:val="a0"/>
    <w:uiPriority w:val="99"/>
    <w:semiHidden/>
    <w:unhideWhenUsed/>
    <w:rsid w:val="00570D2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70D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70D2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0D2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70D2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517C8-559D-4E68-9A36-D20B4B53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MAKSIM</cp:lastModifiedBy>
  <cp:revision>19</cp:revision>
  <cp:lastPrinted>2013-03-25T07:12:00Z</cp:lastPrinted>
  <dcterms:created xsi:type="dcterms:W3CDTF">2020-10-14T08:55:00Z</dcterms:created>
  <dcterms:modified xsi:type="dcterms:W3CDTF">2025-02-07T08:49:00Z</dcterms:modified>
</cp:coreProperties>
</file>